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85" w:after="85"/>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40" w:before="85" w:after="85"/>
        <w:jc w:val="center"/>
        <w:rPr>
          <w:rFonts w:ascii="Verdana" w:hAnsi="Verdana"/>
          <w:sz w:val="20"/>
          <w:szCs w:val="20"/>
        </w:rPr>
      </w:pPr>
      <w:r>
        <w:rPr>
          <w:rFonts w:cs="Arial" w:ascii="Verdana" w:hAnsi="Verdana"/>
          <w:b/>
          <w:bCs/>
          <w:smallCaps/>
          <w:color w:val="000000"/>
          <w:sz w:val="20"/>
          <w:szCs w:val="20"/>
        </w:rPr>
        <w:t>PREGÃO ELETRÔNICO Nº 034/2025</w:t>
      </w:r>
    </w:p>
    <w:p>
      <w:pPr>
        <w:pStyle w:val="Normal"/>
        <w:spacing w:lineRule="auto" w:line="240" w:before="85" w:after="85"/>
        <w:jc w:val="center"/>
        <w:rPr>
          <w:rFonts w:ascii="Verdana" w:hAnsi="Verdana"/>
          <w:sz w:val="20"/>
          <w:szCs w:val="20"/>
        </w:rPr>
      </w:pPr>
      <w:r>
        <w:rPr>
          <w:rFonts w:cs="Arial" w:ascii="Verdana" w:hAnsi="Verdana"/>
          <w:b/>
          <w:bCs/>
          <w:smallCaps/>
          <w:color w:val="000000"/>
          <w:sz w:val="20"/>
          <w:szCs w:val="20"/>
        </w:rPr>
        <w:t>(Processo Administrativo n° 1464/2025 de 21/02/2025)</w:t>
      </w:r>
    </w:p>
    <w:p>
      <w:pPr>
        <w:pStyle w:val="Normal"/>
        <w:spacing w:lineRule="auto" w:line="240" w:before="85" w:after="85"/>
        <w:jc w:val="center"/>
        <w:rPr>
          <w:rFonts w:ascii="Verdana" w:hAnsi="Verdana"/>
          <w:sz w:val="20"/>
          <w:szCs w:val="20"/>
        </w:rPr>
      </w:pPr>
      <w:r>
        <w:rPr>
          <w:rFonts w:ascii="Verdana" w:hAnsi="Verdana"/>
          <w:sz w:val="20"/>
          <w:szCs w:val="20"/>
        </w:rPr>
      </w:r>
    </w:p>
    <w:p>
      <w:pPr>
        <w:pStyle w:val="BodyText"/>
        <w:spacing w:lineRule="auto" w:line="240" w:before="85" w:after="85"/>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85" w:after="85"/>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85" w:after="85"/>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11/09</w:t>
      </w:r>
      <w:r>
        <w:rPr>
          <w:rFonts w:cs="Arial" w:ascii="Verdana" w:hAnsi="Verdana"/>
          <w:b/>
          <w:bCs/>
          <w:color w:val="000000"/>
          <w:sz w:val="20"/>
          <w:szCs w:val="20"/>
        </w:rPr>
        <w:t>/2025.</w:t>
      </w:r>
    </w:p>
    <w:p>
      <w:pPr>
        <w:pStyle w:val="Normal"/>
        <w:spacing w:lineRule="auto" w:line="240" w:before="85" w:after="85"/>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lineRule="auto" w:line="240" w:before="85" w:after="85"/>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85" w:after="85"/>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85" w:after="85"/>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rPr>
        <w:t>DO OBJETO</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1.1 </w:t>
      </w:r>
      <w:r>
        <w:rPr>
          <w:rFonts w:cs="Arial" w:ascii="Verdana" w:hAnsi="Verdana"/>
          <w:iCs/>
          <w:color w:themeColor="text1" w:val="000000"/>
          <w:sz w:val="20"/>
          <w:szCs w:val="20"/>
        </w:rPr>
        <w:t xml:space="preserve">O objeto da presente licitação é a </w:t>
      </w:r>
      <w:bookmarkStart w:id="1" w:name="_Hlk162947020"/>
      <w:r>
        <w:rPr>
          <w:rFonts w:cs="Arial" w:ascii="Verdana" w:hAnsi="Verdana"/>
          <w:iCs/>
          <w:color w:themeColor="text1" w:val="000000"/>
          <w:sz w:val="20"/>
          <w:szCs w:val="20"/>
        </w:rPr>
        <w:t xml:space="preserve">Constituição de Ata de Registro de Preços, </w:t>
      </w:r>
      <w:bookmarkEnd w:id="1"/>
      <w:r>
        <w:rPr>
          <w:rFonts w:cs="Arial" w:ascii="Verdana" w:hAnsi="Verdana"/>
          <w:iCs/>
          <w:color w:themeColor="text1" w:val="000000"/>
          <w:sz w:val="20"/>
          <w:szCs w:val="20"/>
        </w:rPr>
        <w:t xml:space="preserve">para futura e eventual </w:t>
      </w:r>
      <w:r>
        <w:rPr>
          <w:rStyle w:val="Fontepargpadro"/>
          <w:rFonts w:cs="Arial" w:ascii="Verdana" w:hAnsi="Verdana"/>
          <w:b w:val="false"/>
          <w:bCs w:val="false"/>
          <w:iCs/>
          <w:color w:themeColor="text1" w:val="000000"/>
          <w:sz w:val="20"/>
          <w:szCs w:val="20"/>
        </w:rPr>
        <w:t>aquisição de materiais de expediente e artesanato que são constantemente utilizados na Secretaria Municipal de Assistência Social como um todo e nos grupos do Serviço de Convivência e Fortalecimento de Vínculos executados pelo CRAS e para Secretaria Municipal de Assistência Social para um período de 12 meses</w:t>
      </w:r>
      <w:r>
        <w:rPr>
          <w:rFonts w:cs="Arial" w:ascii="Verdana" w:hAnsi="Verdana"/>
          <w:iCs/>
          <w:color w:themeColor="text1" w:val="000000"/>
          <w:sz w:val="20"/>
          <w:szCs w:val="20"/>
        </w:rPr>
        <w:t xml:space="preserve">, </w:t>
      </w:r>
      <w:r>
        <w:rPr>
          <w:rFonts w:eastAsia="Batang;바탕" w:cs="Arial" w:ascii="Verdana" w:hAnsi="Verdana"/>
          <w:iCs/>
          <w:color w:val="000000"/>
          <w:kern w:val="2"/>
          <w:sz w:val="20"/>
          <w:szCs w:val="20"/>
          <w:lang w:eastAsia="en-US" w:bidi="pt-BR"/>
        </w:rPr>
        <w:t>conforme c</w:t>
      </w:r>
      <w:r>
        <w:rPr>
          <w:rFonts w:cs="Arial" w:ascii="Verdana" w:hAnsi="Verdana"/>
          <w:iCs/>
          <w:color w:themeColor="text1" w:val="000000"/>
          <w:sz w:val="20"/>
          <w:szCs w:val="20"/>
        </w:rPr>
        <w:t>ondições, quantidades e exigências estabelecidas neste Edital e seus anexos.</w:t>
      </w:r>
    </w:p>
    <w:p>
      <w:pPr>
        <w:pStyle w:val="Normal"/>
        <w:spacing w:lineRule="auto" w:line="240" w:before="85" w:after="85"/>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before="85" w:after="85"/>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before="85" w:after="85"/>
        <w:jc w:val="both"/>
        <w:rPr>
          <w:rFonts w:ascii="Verdana" w:hAnsi="Verdana"/>
          <w:sz w:val="20"/>
          <w:szCs w:val="20"/>
        </w:rPr>
      </w:pPr>
      <w:r>
        <w:rPr>
          <w:rFonts w:eastAsia="Batang;바탕" w:cs="Arial" w:ascii="Verdana" w:hAnsi="Verdana"/>
          <w:b/>
          <w:bCs/>
          <w:sz w:val="20"/>
          <w:szCs w:val="20"/>
          <w:shd w:fill="FFFF00" w:val="clear"/>
        </w:rPr>
        <w:t xml:space="preserve">a) </w:t>
      </w:r>
      <w:r>
        <w:rPr>
          <w:rFonts w:eastAsia="Batang;바탕" w:cs="Arial" w:ascii="Verdana" w:hAnsi="Verdana"/>
          <w:sz w:val="20"/>
          <w:szCs w:val="20"/>
          <w:shd w:fill="FFFF00" w:val="clear"/>
        </w:rPr>
        <w:t xml:space="preserve">A licitação correspondente ao item 01 (um) </w:t>
      </w:r>
      <w:r>
        <w:rPr>
          <w:rFonts w:eastAsia="Batang;바탕" w:cs="Arial" w:ascii="Verdana" w:hAnsi="Verdana"/>
          <w:b/>
          <w:bCs/>
          <w:sz w:val="20"/>
          <w:szCs w:val="20"/>
          <w:shd w:fill="FFFF00" w:val="clear"/>
        </w:rPr>
        <w:t>não</w:t>
      </w:r>
      <w:r>
        <w:rPr>
          <w:rFonts w:eastAsia="Batang;바탕" w:cs="Arial" w:ascii="Verdana" w:hAnsi="Verdana"/>
          <w:sz w:val="20"/>
          <w:szCs w:val="20"/>
          <w:shd w:fill="FFFF00" w:val="clear"/>
        </w:rPr>
        <w:t xml:space="preserve"> ocorrerá com exclusividade para microempresas ou empresas de pequeno porte.</w:t>
      </w:r>
    </w:p>
    <w:p>
      <w:pPr>
        <w:pStyle w:val="Normal"/>
        <w:spacing w:lineRule="auto" w:line="240" w:before="0" w:after="0"/>
        <w:jc w:val="both"/>
        <w:rPr>
          <w:rFonts w:ascii="Verdana" w:hAnsi="Verdana"/>
          <w:sz w:val="20"/>
          <w:szCs w:val="20"/>
        </w:rPr>
      </w:pPr>
      <w:r>
        <w:rPr>
          <w:rFonts w:eastAsia="Batang;바탕" w:cs="Arial" w:ascii="Verdana" w:hAnsi="Verdana"/>
          <w:b/>
          <w:bCs/>
          <w:iCs/>
          <w:color w:themeColor="text1" w:val="000000"/>
          <w:sz w:val="20"/>
          <w:szCs w:val="20"/>
          <w:shd w:fill="FFFF00" w:val="clear"/>
        </w:rPr>
        <w:t>b)</w:t>
      </w:r>
      <w:r>
        <w:rPr>
          <w:rFonts w:eastAsia="Batang;바탕" w:cs="Arial" w:ascii="Verdana" w:hAnsi="Verdana"/>
          <w:iCs/>
          <w:color w:themeColor="text1" w:val="000000"/>
          <w:sz w:val="20"/>
          <w:szCs w:val="20"/>
          <w:shd w:fill="FFFF00" w:val="clear"/>
        </w:rPr>
        <w:t xml:space="preserve"> Quanto aos demais itens a licitação ocorrerá com exclusividade para microempresas ou empresas de pequeno porte, visto que o valor estimado se encontra dentro do limite de exclusividade previsto, ou então ter havido reserva de cota de exclusividade, tudo conforme, incisos I e III do art. 48 da Lei 123/2006 consolidada.</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 xml:space="preserve">DO REGISTRO DE PREÇOS </w:t>
      </w:r>
    </w:p>
    <w:p>
      <w:pPr>
        <w:pStyle w:val="Normal"/>
        <w:spacing w:lineRule="auto" w:line="240" w:before="85" w:after="85"/>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before="85" w:after="85"/>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85" w:after="85"/>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85" w:after="85"/>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85" w:after="85"/>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before="85" w:after="85"/>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85" w:after="85"/>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85" w:after="85"/>
        <w:jc w:val="both"/>
        <w:rPr>
          <w:rFonts w:ascii="Verdana" w:hAnsi="Verdana"/>
          <w:sz w:val="20"/>
          <w:szCs w:val="20"/>
        </w:rPr>
      </w:pPr>
      <w:r>
        <w:rPr>
          <w:rFonts w:ascii="Verdana" w:hAnsi="Verdana"/>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rPr>
        <w:t>DA PARTICIPAÇÃO NO PREGÃO.</w:t>
      </w:r>
    </w:p>
    <w:p>
      <w:pPr>
        <w:pStyle w:val="Normal"/>
        <w:spacing w:lineRule="auto" w:line="240" w:before="85" w:after="85"/>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85" w:after="85"/>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85" w:after="85"/>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pacing w:lineRule="auto" w:line="240" w:before="85" w:after="85"/>
        <w:jc w:val="both"/>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napToGrid w:val="false"/>
        <w:spacing w:lineRule="auto" w:line="240"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40" w:before="85" w:after="85"/>
        <w:jc w:val="both"/>
        <w:rPr>
          <w:rFonts w:ascii="Verdana" w:hAnsi="Verdana"/>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85" w:after="85"/>
        <w:jc w:val="both"/>
        <w:rPr>
          <w:rFonts w:ascii="Verdana" w:hAnsi="Verdana"/>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sz w:val="20"/>
          <w:szCs w:val="20"/>
        </w:rPr>
      </w:pPr>
      <w:bookmarkStart w:id="7" w:name="art14§2"/>
      <w:bookmarkEnd w:id="7"/>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sz w:val="20"/>
          <w:szCs w:val="20"/>
        </w:rPr>
      </w:pPr>
      <w:bookmarkStart w:id="8" w:name="art14§3"/>
      <w:bookmarkEnd w:id="8"/>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sz w:val="20"/>
          <w:szCs w:val="20"/>
        </w:rPr>
      </w:pPr>
      <w:bookmarkStart w:id="9" w:name="art14§4"/>
      <w:bookmarkEnd w:id="9"/>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0" w:name="art14§5"/>
      <w:bookmarkEnd w:id="10"/>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85" w:after="85"/>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85" w:after="85"/>
        <w:jc w:val="both"/>
        <w:rPr>
          <w:rFonts w:ascii="Verdana" w:hAnsi="Verdana"/>
          <w:sz w:val="20"/>
          <w:szCs w:val="20"/>
        </w:rPr>
      </w:pPr>
      <w:r>
        <w:rPr>
          <w:rFonts w:ascii="Verdana" w:hAnsi="Verdana"/>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85" w:after="85"/>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85" w:after="85"/>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85" w:after="85"/>
        <w:ind w:hanging="0" w:left="0"/>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85" w:after="85"/>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before="85" w:after="85"/>
        <w:jc w:val="both"/>
        <w:rPr>
          <w:rFonts w:ascii="Verdana" w:hAnsi="Verdana"/>
          <w:sz w:val="20"/>
          <w:szCs w:val="20"/>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before="85" w:after="85"/>
        <w:jc w:val="both"/>
        <w:rPr>
          <w:rFonts w:ascii="Verdana" w:hAnsi="Verdana"/>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pPr>
        <w:pStyle w:val="Default"/>
        <w:spacing w:lineRule="auto" w:line="240" w:before="85" w:after="85"/>
        <w:jc w:val="both"/>
        <w:rPr>
          <w:rFonts w:ascii="Verdana" w:hAnsi="Verdana"/>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pPr>
        <w:pStyle w:val="Default"/>
        <w:spacing w:lineRule="auto" w:line="240" w:before="85" w:after="85"/>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before="85" w:after="85"/>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40" w:before="85" w:after="85"/>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85" w:after="85"/>
        <w:jc w:val="both"/>
        <w:rPr>
          <w:rFonts w:ascii="Verdana" w:hAnsi="Verdana"/>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85" w:after="85"/>
        <w:jc w:val="both"/>
        <w:rPr>
          <w:rFonts w:ascii="Verdana" w:hAnsi="Verdana"/>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85" w:after="85"/>
        <w:jc w:val="both"/>
        <w:rPr>
          <w:rFonts w:ascii="Verdana" w:hAnsi="Verdana"/>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85" w:after="85"/>
        <w:jc w:val="both"/>
        <w:rPr>
          <w:rFonts w:ascii="Verdana" w:hAnsi="Verdana"/>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85" w:after="85"/>
        <w:jc w:val="both"/>
        <w:rPr>
          <w:rFonts w:ascii="Verdana" w:hAnsi="Verdana"/>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40" w:before="85" w:after="85"/>
        <w:jc w:val="both"/>
        <w:rPr>
          <w:rFonts w:ascii="Verdana" w:hAnsi="Verdana"/>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85" w:after="85"/>
        <w:jc w:val="both"/>
        <w:rPr>
          <w:rFonts w:ascii="Verdana" w:hAnsi="Verdana"/>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85" w:after="85"/>
        <w:jc w:val="both"/>
        <w:rPr>
          <w:rFonts w:ascii="Verdana" w:hAnsi="Verdana"/>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85" w:after="85"/>
        <w:jc w:val="both"/>
        <w:rPr>
          <w:rFonts w:ascii="Verdana" w:hAnsi="Verdana"/>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85" w:after="85"/>
        <w:jc w:val="both"/>
        <w:rPr>
          <w:rFonts w:ascii="Verdana" w:hAnsi="Verdana"/>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85" w:after="85"/>
        <w:jc w:val="both"/>
        <w:rPr>
          <w:rFonts w:ascii="Verdana" w:hAnsi="Verdana"/>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85" w:after="85"/>
        <w:jc w:val="both"/>
        <w:rPr>
          <w:rFonts w:ascii="Verdana" w:hAnsi="Verdana"/>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85" w:after="85"/>
        <w:jc w:val="both"/>
        <w:rPr>
          <w:rFonts w:ascii="Verdana" w:hAnsi="Verdana"/>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85" w:after="85"/>
        <w:jc w:val="both"/>
        <w:rPr>
          <w:rFonts w:ascii="Verdana" w:hAnsi="Verdana"/>
          <w:sz w:val="20"/>
          <w:szCs w:val="20"/>
        </w:rPr>
      </w:pPr>
      <w:r>
        <w:rPr>
          <w:rFonts w:cs="Arial" w:ascii="Verdana" w:hAnsi="Verdana"/>
          <w:color w:val="000000"/>
          <w:sz w:val="20"/>
          <w:szCs w:val="20"/>
          <w:lang w:eastAsia="en-US"/>
        </w:rPr>
        <w:t>7.28.3 Por empresas brasileiras;</w:t>
      </w:r>
    </w:p>
    <w:p>
      <w:pPr>
        <w:pStyle w:val="Normal"/>
        <w:spacing w:lineRule="auto" w:line="240" w:before="85" w:after="85"/>
        <w:jc w:val="both"/>
        <w:rPr>
          <w:rFonts w:ascii="Verdana" w:hAnsi="Verdana"/>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40" w:before="85" w:after="85"/>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85" w:after="85"/>
        <w:jc w:val="both"/>
        <w:rPr>
          <w:rFonts w:ascii="Verdana" w:hAnsi="Verdana"/>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85" w:after="85"/>
        <w:jc w:val="both"/>
        <w:rPr>
          <w:rFonts w:ascii="Verdana" w:hAnsi="Verdana"/>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08"/>
          <w:tab w:val="left" w:pos="-12"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85" w:after="85"/>
        <w:ind w:hanging="0" w:left="0"/>
        <w:contextualSpacing w:val="false"/>
        <w:jc w:val="both"/>
        <w:rPr>
          <w:rFonts w:ascii="Verdana" w:hAnsi="Verdana"/>
          <w:sz w:val="20"/>
          <w:szCs w:val="20"/>
        </w:rPr>
      </w:pPr>
      <w:bookmarkStart w:id="13" w:name="_Hlk169708956"/>
      <w:r>
        <w:rPr>
          <w:rFonts w:cs="Arial" w:ascii="Verdana" w:hAnsi="Verdana"/>
          <w:color w:val="000000"/>
          <w:sz w:val="20"/>
          <w:szCs w:val="20"/>
        </w:rPr>
        <w:t>7.31 Após a negociação do preço, o Pregoeiro iniciará a fase de aceitação e julgamento da proposta.</w:t>
      </w:r>
      <w:bookmarkEnd w:id="13"/>
    </w:p>
    <w:p>
      <w:pPr>
        <w:pStyle w:val="ListParagraph"/>
        <w:tabs>
          <w:tab w:val="clear" w:pos="708"/>
          <w:tab w:val="left" w:pos="-12" w:leader="none"/>
        </w:tabs>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85" w:after="85"/>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40" w:before="85" w:after="85"/>
        <w:ind w:hanging="0" w:left="0"/>
        <w:contextualSpacing w:val="false"/>
        <w:jc w:val="both"/>
        <w:rPr/>
      </w:pPr>
      <w:bookmarkStart w:id="14"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4"/>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85" w:after="85"/>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85" w:after="85"/>
        <w:ind w:hanging="0" w:left="0"/>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85" w:after="85"/>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85" w:after="85"/>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85" w:after="85"/>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85" w:after="85"/>
        <w:ind w:hanging="0" w:left="0"/>
        <w:contextualSpacing w:val="false"/>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85" w:after="85"/>
        <w:ind w:hanging="0" w:left="0"/>
        <w:contextualSpacing w:val="false"/>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85" w:after="85"/>
        <w:ind w:hanging="0" w:left="0"/>
        <w:contextualSpacing w:val="false"/>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85" w:after="85"/>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85" w:after="85"/>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85" w:after="85"/>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85" w:after="85"/>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85" w:after="85"/>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40" w:before="85" w:after="85"/>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02 (duas) horas</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85" w:after="85"/>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85" w:after="85"/>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85" w:after="85"/>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85" w:after="85"/>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85" w:after="85"/>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85" w:after="85"/>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85" w:after="85"/>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85" w:after="85"/>
        <w:rPr>
          <w:rFonts w:ascii="Verdana" w:hAnsi="Verdana" w:cs="Arial"/>
          <w:sz w:val="20"/>
          <w:szCs w:val="20"/>
        </w:rPr>
      </w:pPr>
      <w:r>
        <w:rPr>
          <w:rFonts w:cs="Arial" w:ascii="Verdana" w:hAnsi="Verdana"/>
          <w:sz w:val="20"/>
          <w:szCs w:val="20"/>
        </w:rPr>
      </w:r>
    </w:p>
    <w:p>
      <w:pPr>
        <w:pStyle w:val="Nivel01"/>
        <w:numPr>
          <w:ilvl w:val="0"/>
          <w:numId w:val="2"/>
        </w:numPr>
        <w:spacing w:lineRule="auto" w:line="240" w:before="85" w:after="85"/>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ivel01"/>
        <w:numPr>
          <w:ilvl w:val="0"/>
          <w:numId w:val="2"/>
        </w:numPr>
        <w:spacing w:lineRule="auto" w:line="240" w:before="85" w:after="85"/>
        <w:ind w:hanging="0" w:left="0"/>
        <w:rPr>
          <w:rFonts w:ascii="Verdana" w:hAnsi="Verdana"/>
          <w:sz w:val="20"/>
          <w:szCs w:val="20"/>
        </w:rPr>
      </w:pPr>
      <w:r>
        <w:rPr>
          <w:rFonts w:cs="Arial" w:ascii="Verdana" w:hAnsi="Verdana"/>
          <w:color w:val="auto"/>
          <w:sz w:val="20"/>
          <w:szCs w:val="20"/>
        </w:rPr>
        <w:t xml:space="preserve">DA GARANTIA DE EXECUÇÃO </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85" w:after="85"/>
        <w:ind w:hanging="0" w:left="0"/>
        <w:rPr>
          <w:rFonts w:ascii="Verdana" w:hAnsi="Verdana"/>
          <w:sz w:val="20"/>
          <w:szCs w:val="20"/>
        </w:rPr>
      </w:pPr>
      <w:r>
        <w:rPr>
          <w:rFonts w:eastAsia="Segoe UI" w:cs="Arial" w:ascii="Verdana" w:hAnsi="Verdana"/>
          <w:bCs/>
          <w:color w:val="000000"/>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85" w:after="85"/>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85" w:after="85"/>
        <w:rPr>
          <w:rFonts w:ascii="Verdana" w:hAnsi="Verdana"/>
          <w:sz w:val="20"/>
          <w:szCs w:val="20"/>
        </w:rPr>
      </w:pPr>
      <w:r>
        <w:rPr>
          <w:rFonts w:cs="Arial" w:ascii="Verdana" w:hAnsi="Verdana"/>
          <w:sz w:val="20"/>
          <w:szCs w:val="20"/>
        </w:rPr>
        <w:t>16. DO REAJUSTAMENTO EM SENTIDO GERAL</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rFonts w:ascii="Verdana" w:hAnsi="Verdana"/>
          <w:sz w:val="20"/>
          <w:szCs w:val="20"/>
        </w:rPr>
      </w:pPr>
      <w:r>
        <w:rPr>
          <w:rFonts w:cs="Arial" w:ascii="Verdana" w:hAnsi="Verdana"/>
          <w:sz w:val="20"/>
          <w:szCs w:val="20"/>
        </w:rPr>
        <w:t>17. DA ACEITAÇÃO DO OBJETO E DA FISCALIZAÇÃO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da Ata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rFonts w:ascii="Verdana" w:hAnsi="Verdana"/>
          <w:sz w:val="20"/>
          <w:szCs w:val="20"/>
        </w:rPr>
      </w:pPr>
      <w:r>
        <w:rPr>
          <w:rFonts w:cs="Arial" w:ascii="Verdana" w:hAnsi="Verdana"/>
          <w:sz w:val="20"/>
          <w:szCs w:val="20"/>
          <w:lang w:eastAsia="en-US"/>
        </w:rPr>
        <w:t>18. DAS OBRIGAÇÕES DA CONTRATANTE E DA CONTRATADA</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rFonts w:ascii="Verdana" w:hAnsi="Verdana"/>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rFonts w:ascii="Verdana" w:hAnsi="Verdana"/>
          <w:sz w:val="20"/>
          <w:szCs w:val="20"/>
        </w:rPr>
      </w:pPr>
      <w:r>
        <w:rPr>
          <w:rFonts w:cs="Arial" w:ascii="Verdana" w:hAnsi="Verdana"/>
          <w:sz w:val="20"/>
          <w:szCs w:val="20"/>
        </w:rPr>
        <w:t>20. DAS SANÇÕES ADMINISTRATIVAS.</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20.1.1 D</w:t>
      </w:r>
      <w:bookmarkStart w:id="15"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5"/>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 xml:space="preserve">20.1.2 </w:t>
      </w:r>
      <w:bookmarkStart w:id="16" w:name="_Ref114668108"/>
      <w:r>
        <w:rPr>
          <w:rFonts w:cs="Arial" w:ascii="Verdana" w:hAnsi="Verdana"/>
          <w:sz w:val="20"/>
          <w:szCs w:val="20"/>
          <w:shd w:fill="FFFFFF" w:val="clear"/>
        </w:rPr>
        <w:t>Salvo em decorrência de fato superveniente devidamente justificado, não mantiver a proposta em especial quando:</w:t>
      </w:r>
      <w:bookmarkEnd w:id="16"/>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85" w:after="85"/>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85" w:after="85"/>
        <w:jc w:val="both"/>
        <w:rPr>
          <w:rFonts w:ascii="Verdana" w:hAnsi="Verdana"/>
          <w:sz w:val="20"/>
          <w:szCs w:val="20"/>
        </w:rPr>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pPr>
        <w:pStyle w:val="Normal"/>
        <w:spacing w:lineRule="auto" w:line="240" w:before="85" w:after="85"/>
        <w:jc w:val="both"/>
        <w:rPr>
          <w:rFonts w:ascii="Verdana" w:hAnsi="Verdana"/>
          <w:sz w:val="20"/>
          <w:szCs w:val="20"/>
        </w:rPr>
      </w:pPr>
      <w:r>
        <w:rPr>
          <w:rFonts w:ascii="Verdana" w:hAnsi="Verdana"/>
          <w:sz w:val="20"/>
          <w:szCs w:val="20"/>
        </w:rPr>
        <w:t>20.1.5 F</w:t>
      </w:r>
      <w:bookmarkStart w:id="18" w:name="_Ref114668245"/>
      <w:r>
        <w:rPr>
          <w:rFonts w:ascii="Verdana" w:hAnsi="Verdana"/>
          <w:sz w:val="20"/>
          <w:szCs w:val="20"/>
        </w:rPr>
        <w:t>raudar a licitação</w:t>
      </w:r>
      <w:bookmarkEnd w:id="18"/>
    </w:p>
    <w:p>
      <w:pPr>
        <w:pStyle w:val="Normal"/>
        <w:spacing w:lineRule="auto" w:line="240" w:before="85" w:after="85"/>
        <w:jc w:val="both"/>
        <w:rPr>
          <w:rFonts w:ascii="Verdana" w:hAnsi="Verdana"/>
          <w:sz w:val="20"/>
          <w:szCs w:val="20"/>
        </w:rPr>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pPr>
        <w:pStyle w:val="Normal"/>
        <w:spacing w:lineRule="auto" w:line="240" w:before="85" w:after="85"/>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85" w:after="85"/>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85" w:after="85"/>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40" w:before="85" w:after="85"/>
        <w:jc w:val="both"/>
        <w:rPr>
          <w:rFonts w:ascii="Verdana" w:hAnsi="Verdana"/>
          <w:sz w:val="20"/>
          <w:szCs w:val="20"/>
        </w:rPr>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pPr>
        <w:pStyle w:val="Normal"/>
        <w:spacing w:lineRule="auto" w:line="240" w:before="85" w:after="85"/>
        <w:jc w:val="both"/>
        <w:rPr/>
      </w:pPr>
      <w:r>
        <w:rPr>
          <w:rFonts w:ascii="Verdana" w:hAnsi="Verdana"/>
          <w:sz w:val="20"/>
          <w:szCs w:val="20"/>
        </w:rPr>
        <w:t>20.1.8 P</w:t>
      </w:r>
      <w:bookmarkStart w:id="21"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21"/>
    </w:p>
    <w:p>
      <w:pPr>
        <w:pStyle w:val="Nivel2"/>
        <w:numPr>
          <w:ilvl w:val="0"/>
          <w:numId w:val="0"/>
        </w:numPr>
        <w:spacing w:lineRule="auto" w:line="240" w:before="85" w:after="85"/>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 xml:space="preserve">20.4.1 </w:t>
      </w:r>
      <w:bookmarkStart w:id="22" w:name="_Hlk113876035"/>
      <w:bookmarkStart w:id="23" w:name="_Hlk113876035_Copia_1"/>
      <w:r>
        <w:rPr>
          <w:rFonts w:ascii="Verdana" w:hAnsi="Verdana"/>
          <w:sz w:val="20"/>
          <w:szCs w:val="20"/>
        </w:rPr>
        <w:t>Para as infrações previstas nos itens 20.1.1, 20.1.2 e 20.1.3, a multa será de 5% do valor do contrato licitado.</w:t>
      </w:r>
      <w:bookmarkEnd w:id="22"/>
      <w:bookmarkEnd w:id="23"/>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85" w:after="85"/>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sz w:val="20"/>
          <w:szCs w:val="20"/>
          <w:rFonts w:ascii="Verdana" w:hAnsi="Verdana"/>
          <w:color w:val="000000"/>
        </w:rPr>
        <w:instrText xml:space="preserve"> HYPERLINK "http://www.planalto.gov.br/ccivil_03/_ato2019-2022/2021/lei/L14133.htm" \l "art156%C2%A75"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156, §5º, da Lei n.º 14.133/2021</w:t>
      </w:r>
      <w:r>
        <w:rPr>
          <w:rStyle w:val="ListLabel29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85" w:after="85"/>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85" w:after="85"/>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85" w:after="85"/>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85" w:after="85"/>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rFonts w:ascii="Verdana" w:hAnsi="Verdana"/>
          <w:sz w:val="20"/>
          <w:szCs w:val="20"/>
        </w:rPr>
      </w:pPr>
      <w:r>
        <w:rPr>
          <w:rFonts w:cs="Arial" w:ascii="Verdana" w:hAnsi="Verdana"/>
          <w:sz w:val="20"/>
          <w:szCs w:val="20"/>
        </w:rPr>
        <w:t>22. DAS DISPOSIÇÕES GERAIS</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85" w:after="85"/>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85" w:after="85"/>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4" w:name="_Hlk123138684_Copia_3"/>
      <w:r>
        <w:rPr>
          <w:rFonts w:cs="Arial" w:ascii="Verdana" w:hAnsi="Verdana"/>
          <w:color w:val="000000"/>
          <w:sz w:val="20"/>
          <w:szCs w:val="20"/>
          <w:u w:val="single"/>
        </w:rPr>
        <w:t>www.portaldecompraspublicas.com.br</w:t>
      </w:r>
      <w:bookmarkEnd w:id="24"/>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22.12.1.2 ANEXO I-1 – Estudo Técnico Preliminar;</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40" w:before="85" w:after="85"/>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before="85" w:after="85"/>
        <w:ind w:hanging="0" w:left="0"/>
        <w:jc w:val="center"/>
        <w:outlineLvl w:val="0"/>
        <w:rPr>
          <w:rFonts w:ascii="Verdana" w:hAnsi="Verdana"/>
          <w:sz w:val="20"/>
          <w:szCs w:val="20"/>
        </w:rPr>
      </w:pPr>
      <w:r>
        <w:rPr>
          <w:rFonts w:cs="Arial" w:ascii="Verdana" w:hAnsi="Verdana"/>
          <w:color w:val="000000"/>
          <w:sz w:val="20"/>
          <w:szCs w:val="20"/>
        </w:rPr>
        <w:t>São Gabriel da Palha/ES, 31 de julho de 2025.</w:t>
      </w:r>
    </w:p>
    <w:p>
      <w:pPr>
        <w:pStyle w:val="Normal"/>
        <w:tabs>
          <w:tab w:val="clear" w:pos="708"/>
          <w:tab w:val="left" w:pos="1440" w:leader="none"/>
        </w:tabs>
        <w:snapToGrid w:val="false"/>
        <w:spacing w:lineRule="auto" w:line="240" w:before="85" w:after="85"/>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85" w:after="85"/>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before="85" w:after="85"/>
        <w:ind w:hanging="0" w:left="0"/>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before="85" w:after="85"/>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Familia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Fontepargpadro">
    <w:name w:val="Fonte parág. padrão"/>
    <w:qFormat/>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3556</TotalTime>
  <Application>LibreOffice/24.2.6.2$Windows_X86_64 LibreOffice_project/ef66aa7e36a1bb8e65bfbc63aba53045a14d0871</Application>
  <AppVersion>15.0000</AppVersion>
  <Pages>16</Pages>
  <Words>8436</Words>
  <Characters>47742</Characters>
  <CharactersWithSpaces>55791</CharactersWithSpaces>
  <Paragraphs>318</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2025-06-13T12:31:08Z</cp:lastPrinted>
  <dcterms:modified xsi:type="dcterms:W3CDTF">2025-08-26T12:59:03Z</dcterms:modified>
  <cp:revision>184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